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technologyid</w:t>
            </w:r>
          </w:p>
        </w:tc>
        <w:tc>
          <w:tcPr>
            <w:gridSpan w:val="1"/>
            <w:noWrap/>
          </w:tcPr>
          <w:p>
            <w:pPr/>
            <w:r>
              <w:rPr/>
              <w:t xml:space="preserve">25</w:t>
            </w:r>
          </w:p>
        </w:tc>
      </w:tr>
      <w:tr>
        <w:trPr>
          <w:trHeight w:val="0" w:hRule="atLeast"/>
        </w:trPr>
        <w:tc>
          <w:tcPr>
            <w:shd w:val="clear" w:fill="E4E4E4"/>
            <w:gridSpan w:val="1"/>
            <w:noWrap/>
          </w:tcPr>
          <w:p>
            <w:pPr/>
            <w:r>
              <w:rPr>
                <w:b w:val="1"/>
                <w:bCs w:val="1"/>
              </w:rPr>
              <w:t xml:space="preserve">Technology package</w:t>
            </w:r>
          </w:p>
        </w:tc>
        <w:tc>
          <w:tcPr>
            <w:gridSpan w:val="1"/>
            <w:noWrap/>
          </w:tcPr>
          <w:p>
            <w:pPr/>
            <w:r>
              <w:rPr/>
              <w:t xml:space="preserve">CONCENTRATES AS LEAST COST EFFECTIVE FEEDING OPTIONS FOR FINISHING BROILERS</w:t>
            </w:r>
          </w:p>
        </w:tc>
      </w:tr>
      <w:tr>
        <w:trPr>
          <w:trHeight w:val="0" w:hRule="atLeast"/>
        </w:trPr>
        <w:tc>
          <w:tcPr>
            <w:shd w:val="clear" w:fill="E4E4E4"/>
            <w:gridSpan w:val="1"/>
            <w:noWrap/>
          </w:tcPr>
          <w:p>
            <w:pPr/>
            <w:r>
              <w:rPr>
                <w:b w:val="1"/>
                <w:bCs w:val="1"/>
              </w:rPr>
              <w:t xml:space="preserve">Summary</w:t>
            </w:r>
          </w:p>
        </w:tc>
        <w:tc>
          <w:tcPr>
            <w:gridSpan w:val="1"/>
            <w:noWrap/>
          </w:tcPr>
          <w:p>
            <w:pPr/>
            <w:r>
              <w:rPr/>
              <w:t xml:space="preserve">Two Broiler Finisher Concentrates have been released on May 5, 2011 to the farming communities to address the rising cost of commercial feeds for broiler chickens. They are Low Energy Concentrate (LEC) to be used with sweet potato and High Energy Concentrate (HEC) to be used with cassava for finishing broilers to maturity.
This research was done to reduce costs for farmers who raise broiler chickens. It addresses the rising cost of feeding broilers by smallholder farmers and improves their competitiveness in the broiler market.</w:t>
            </w:r>
          </w:p>
        </w:tc>
      </w:tr>
      <w:tr>
        <w:trPr>
          <w:trHeight w:val="0" w:hRule="atLeast"/>
        </w:trPr>
        <w:tc>
          <w:tcPr>
            <w:shd w:val="clear" w:fill="E4E4E4"/>
            <w:gridSpan w:val="1"/>
            <w:noWrap/>
          </w:tcPr>
          <w:p>
            <w:pPr/>
            <w:r>
              <w:rPr>
                <w:b w:val="1"/>
                <w:bCs w:val="1"/>
              </w:rPr>
              <w:t xml:space="preserve">Usage</w:t>
            </w:r>
          </w:p>
        </w:tc>
        <w:tc>
          <w:tcPr>
            <w:gridSpan w:val="1"/>
            <w:noWrap/>
          </w:tcPr>
          <w:p>
            <w:pPr/>
            <w:r>
              <w:rPr/>
              <w:t xml:space="preserve"/>
            </w:r>
          </w:p>
        </w:tc>
      </w:tr>
      <w:tr>
        <w:trPr>
          <w:trHeight w:val="0" w:hRule="atLeast"/>
        </w:trPr>
        <w:tc>
          <w:tcPr>
            <w:shd w:val="clear" w:fill="E4E4E4"/>
            <w:gridSpan w:val="1"/>
            <w:noWrap/>
          </w:tcPr>
          <w:p>
            <w:pPr/>
            <w:r>
              <w:rPr>
                <w:b w:val="1"/>
                <w:bCs w:val="1"/>
              </w:rPr>
              <w:t xml:space="preserve">Scaling the technology</w:t>
            </w:r>
          </w:p>
        </w:tc>
        <w:tc>
          <w:tcPr>
            <w:gridSpan w:val="1"/>
            <w:noWrap/>
          </w:tcPr>
          <w:p>
            <w:pPr/>
            <w:r>
              <w:rPr/>
              <w:t xml:space="preserve"/>
            </w:r>
          </w:p>
        </w:tc>
      </w:tr>
      <w:tr>
        <w:trPr>
          <w:trHeight w:val="0" w:hRule="atLeast"/>
        </w:trPr>
        <w:tc>
          <w:tcPr>
            <w:shd w:val="clear" w:fill="E4E4E4"/>
            <w:gridSpan w:val="1"/>
            <w:noWrap/>
          </w:tcPr>
          <w:p>
            <w:pPr/>
            <w:r>
              <w:rPr>
                <w:b w:val="1"/>
                <w:bCs w:val="1"/>
              </w:rPr>
              <w:t xml:space="preserve">Year released</w:t>
            </w:r>
          </w:p>
        </w:tc>
        <w:tc>
          <w:tcPr>
            <w:gridSpan w:val="1"/>
            <w:noWrap/>
          </w:tcPr>
          <w:p>
            <w:pPr/>
            <w:r>
              <w:rPr/>
              <w:t xml:space="preserve"/>
            </w:r>
          </w:p>
        </w:tc>
      </w:tr>
      <w:tr>
        <w:trPr>
          <w:trHeight w:val="0" w:hRule="atLeast"/>
        </w:trPr>
        <w:tc>
          <w:tcPr>
            <w:shd w:val="clear" w:fill="E4E4E4"/>
            <w:gridSpan w:val="1"/>
            <w:noWrap/>
          </w:tcPr>
          <w:p>
            <w:pPr/>
            <w:r>
              <w:rPr>
                <w:b w:val="1"/>
                <w:bCs w:val="1"/>
              </w:rPr>
              <w:t xml:space="preserve">Related  project</w:t>
            </w:r>
          </w:p>
        </w:tc>
        <w:tc>
          <w:tcPr>
            <w:gridSpan w:val="1"/>
            <w:noWrap/>
          </w:tcPr>
          <w:p>
            <w:pPr/>
            <w:r>
              <w:rPr/>
              <w:t xml:space="preserve"/>
            </w:r>
          </w:p>
        </w:tc>
      </w:tr>
      <w:tr>
        <w:trPr>
          <w:trHeight w:val="0" w:hRule="atLeast"/>
        </w:trPr>
        <w:tc>
          <w:tcPr>
            <w:shd w:val="clear" w:fill="E4E4E4"/>
            <w:gridSpan w:val="1"/>
            <w:noWrap/>
          </w:tcPr>
          <w:p>
            <w:pPr/>
            <w:r>
              <w:rPr>
                <w:b w:val="1"/>
                <w:bCs w:val="1"/>
              </w:rPr>
              <w:t xml:space="preserve">Applicable regions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References</w:t>
            </w:r>
          </w:p>
        </w:tc>
        <w:tc>
          <w:tcPr>
            <w:noWrap/>
          </w:tcP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2026-09-01T03:02:13+00:00</dcterms:created>
  <dcterms:modified xsi:type="dcterms:W3CDTF">2026-09-01T03:02:13+00:00</dcterms:modified>
</cp:coreProperties>
</file>

<file path=docProps/custom.xml><?xml version="1.0" encoding="utf-8"?>
<Properties xmlns="http://schemas.openxmlformats.org/officeDocument/2006/custom-properties" xmlns:vt="http://schemas.openxmlformats.org/officeDocument/2006/docPropsVTypes"/>
</file>